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97" w:rsidRDefault="00E95B97" w:rsidP="00E95B97">
      <w:bookmarkStart w:id="0" w:name="_GoBack"/>
      <w:r w:rsidRPr="00824EAB">
        <w:t xml:space="preserve">Classificatie vanuit de </w:t>
      </w:r>
      <w:r>
        <w:t>DSM-5</w:t>
      </w:r>
    </w:p>
    <w:bookmarkEnd w:id="0"/>
    <w:p w:rsidR="00E95B97" w:rsidRDefault="00E95B97" w:rsidP="00E95B97">
      <w:r w:rsidRPr="00834CDA">
        <w:t>Het “</w:t>
      </w:r>
      <w:proofErr w:type="spellStart"/>
      <w:r w:rsidRPr="00834CDA">
        <w:t>Diagnostic</w:t>
      </w:r>
      <w:proofErr w:type="spellEnd"/>
      <w:r w:rsidRPr="00834CDA">
        <w:t xml:space="preserve"> </w:t>
      </w:r>
      <w:proofErr w:type="spellStart"/>
      <w:r w:rsidRPr="00834CDA">
        <w:t>and</w:t>
      </w:r>
      <w:proofErr w:type="spellEnd"/>
      <w:r w:rsidRPr="00834CDA">
        <w:t xml:space="preserve"> Statistical Manual of </w:t>
      </w:r>
      <w:proofErr w:type="spellStart"/>
      <w:r w:rsidRPr="00834CDA">
        <w:t>Mental</w:t>
      </w:r>
      <w:proofErr w:type="spellEnd"/>
      <w:r w:rsidRPr="00834CDA">
        <w:t xml:space="preserve"> Disorders” is een Amerikaans handboek dat in de meeste landen als standaard in de psychiatrische diagnostiek dient. Met andere woorden; wat in de DSM </w:t>
      </w:r>
      <w:r>
        <w:t>5</w:t>
      </w:r>
      <w:r w:rsidRPr="00834CDA">
        <w:t xml:space="preserve"> staat, dient meestal als basis om een diagnose te geven of krijgen.</w:t>
      </w:r>
    </w:p>
    <w:p w:rsidR="00E95B97" w:rsidRDefault="00E95B97" w:rsidP="00E95B97">
      <w:r>
        <w:t xml:space="preserve">Autismespectrumstoornis </w:t>
      </w:r>
    </w:p>
    <w:tbl>
      <w:tblPr>
        <w:tblStyle w:val="Tabelraster"/>
        <w:tblW w:w="0" w:type="auto"/>
        <w:tblLook w:val="0680" w:firstRow="0" w:lastRow="0" w:firstColumn="1" w:lastColumn="0" w:noHBand="1" w:noVBand="1"/>
      </w:tblPr>
      <w:tblGrid>
        <w:gridCol w:w="6658"/>
        <w:gridCol w:w="850"/>
        <w:gridCol w:w="709"/>
        <w:gridCol w:w="845"/>
      </w:tblGrid>
      <w:tr w:rsidR="00E95B97" w:rsidTr="00B44758">
        <w:tc>
          <w:tcPr>
            <w:tcW w:w="9062" w:type="dxa"/>
            <w:gridSpan w:val="4"/>
          </w:tcPr>
          <w:p w:rsidR="00E95B97" w:rsidRDefault="00E95B97" w:rsidP="00B44758">
            <w:r>
              <w:t xml:space="preserve">                                                                                                                                     Niveau ’s van de ernst</w:t>
            </w:r>
          </w:p>
        </w:tc>
      </w:tr>
      <w:tr w:rsidR="00E95B97" w:rsidTr="00B44758">
        <w:tc>
          <w:tcPr>
            <w:tcW w:w="6658" w:type="dxa"/>
          </w:tcPr>
          <w:p w:rsidR="00E95B97" w:rsidRDefault="00E95B97" w:rsidP="00B44758">
            <w:r w:rsidRPr="006A28BA">
              <w:t xml:space="preserve">A. Blijvende beperkingen op het gebied van de sociale communicatie en sociale interactie in uiteenlopende situaties, zich uitend door: </w:t>
            </w:r>
          </w:p>
        </w:tc>
        <w:tc>
          <w:tcPr>
            <w:tcW w:w="850" w:type="dxa"/>
          </w:tcPr>
          <w:p w:rsidR="00E95B97" w:rsidRDefault="00E95B97" w:rsidP="00B44758"/>
        </w:tc>
        <w:tc>
          <w:tcPr>
            <w:tcW w:w="709" w:type="dxa"/>
          </w:tcPr>
          <w:p w:rsidR="00E95B97" w:rsidRDefault="00E95B97" w:rsidP="00B44758"/>
        </w:tc>
        <w:tc>
          <w:tcPr>
            <w:tcW w:w="845" w:type="dxa"/>
          </w:tcPr>
          <w:p w:rsidR="00E95B97" w:rsidRDefault="00E95B97" w:rsidP="00B44758"/>
        </w:tc>
      </w:tr>
      <w:tr w:rsidR="00E95B97" w:rsidTr="00B44758">
        <w:tc>
          <w:tcPr>
            <w:tcW w:w="6658" w:type="dxa"/>
          </w:tcPr>
          <w:p w:rsidR="00E95B97" w:rsidRPr="00D4457C" w:rsidRDefault="00E95B97" w:rsidP="00B44758">
            <w:pPr>
              <w:pStyle w:val="Geenafstand"/>
            </w:pPr>
            <w:r w:rsidRPr="00D4457C">
              <w:t xml:space="preserve">Beperkingen in sociaal-emotionele wederkerigheid. </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D4457C" w:rsidRDefault="00E95B97" w:rsidP="00B44758">
            <w:pPr>
              <w:pStyle w:val="Geenafstand"/>
            </w:pPr>
            <w:r w:rsidRPr="00D4457C">
              <w:t>Beperkingen in non-verbale communicatieve gedrag.</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D4457C" w:rsidRDefault="00E95B97" w:rsidP="00B44758">
            <w:pPr>
              <w:pStyle w:val="Geenafstand"/>
            </w:pPr>
            <w:r w:rsidRPr="00D4457C">
              <w:t>Beperkingen in het ontwikkelen, onderhouden en begrijpen van relaties</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6A28BA" w:rsidRDefault="00E95B97" w:rsidP="00B44758">
            <w:pPr>
              <w:pStyle w:val="Geenafstand"/>
            </w:pPr>
            <w:r w:rsidRPr="006A28BA">
              <w:t>B. Beperkte, repetitieve gedragspatronen, interesses en activiteiten</w:t>
            </w:r>
            <w:r>
              <w:t>:</w:t>
            </w:r>
          </w:p>
          <w:p w:rsidR="00E95B97" w:rsidRPr="00D4457C" w:rsidRDefault="00E95B97" w:rsidP="00B44758">
            <w:pPr>
              <w:pStyle w:val="Geenafstand"/>
            </w:pPr>
          </w:p>
        </w:tc>
        <w:tc>
          <w:tcPr>
            <w:tcW w:w="850" w:type="dxa"/>
          </w:tcPr>
          <w:p w:rsidR="00E95B97" w:rsidRDefault="00E95B97" w:rsidP="00B44758"/>
        </w:tc>
        <w:tc>
          <w:tcPr>
            <w:tcW w:w="709" w:type="dxa"/>
          </w:tcPr>
          <w:p w:rsidR="00E95B97" w:rsidRDefault="00E95B97" w:rsidP="00B44758"/>
        </w:tc>
        <w:tc>
          <w:tcPr>
            <w:tcW w:w="845" w:type="dxa"/>
          </w:tcPr>
          <w:p w:rsidR="00E95B97" w:rsidRDefault="00E95B97" w:rsidP="00B44758"/>
        </w:tc>
      </w:tr>
      <w:tr w:rsidR="00E95B97" w:rsidTr="00B44758">
        <w:tc>
          <w:tcPr>
            <w:tcW w:w="6658" w:type="dxa"/>
          </w:tcPr>
          <w:p w:rsidR="00E95B97" w:rsidRPr="00D4457C" w:rsidRDefault="00E95B97" w:rsidP="00B44758">
            <w:pPr>
              <w:pStyle w:val="Geenafstand"/>
            </w:pPr>
            <w:r w:rsidRPr="006A28BA">
              <w:t>Stereotype bewegingen. Herhalende motorische bewegingen.</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D4457C" w:rsidRDefault="00E95B97" w:rsidP="00B44758">
            <w:pPr>
              <w:pStyle w:val="Geenafstand"/>
            </w:pPr>
            <w:r w:rsidRPr="006A28BA">
              <w:t>Vasthouden aan routines en rituele patronen van verbaal en non-verbaal gedrag. Bijvoorbeeld: moeite hebben met overgangen, elke dag dezelfde rituelen doorlopen, rituelen bij begroetingen.</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D4457C" w:rsidRDefault="00E95B97" w:rsidP="00B44758">
            <w:pPr>
              <w:pStyle w:val="Geenafstand"/>
            </w:pPr>
            <w:r w:rsidRPr="006A28BA">
              <w:t>Beperkte gefixeerde interesses die abnormaal zijn qua intensiteit of aard. Bijvoorbeeld: Heel veel weten over 1 bepaald onderwerp. Binnen mijn ervaring kan ik veel voorbeelden benoemen van preoccupatie onderwerpen; radio dj’s, gamen, schroeven en pluggen, Boudewijn de Groot, paarden, treinen, fossielen, tweede wereld oorlog, Ferrari ’s, magneten, het heelal, voetbal, verjaardagdata ’s,  wasmachines, computer en busvervoer. Het is een diversiteit van onderwerpen. En ik leer elke keer een beetje meer over deze onderwerpen, dat verrijkt mij.</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r w:rsidR="00E95B97" w:rsidTr="00B44758">
        <w:tc>
          <w:tcPr>
            <w:tcW w:w="6658" w:type="dxa"/>
          </w:tcPr>
          <w:p w:rsidR="00E95B97" w:rsidRPr="00D4457C" w:rsidRDefault="00E95B97" w:rsidP="00B44758">
            <w:pPr>
              <w:pStyle w:val="Geenafstand"/>
            </w:pPr>
            <w:r w:rsidRPr="006A28BA">
              <w:t xml:space="preserve">Hyper of hyporeactiviteit op zintuiglijke prikkels, over – en </w:t>
            </w:r>
            <w:proofErr w:type="spellStart"/>
            <w:r w:rsidRPr="006A28BA">
              <w:t>ondergevoeligheid</w:t>
            </w:r>
            <w:proofErr w:type="spellEnd"/>
            <w:r w:rsidRPr="006A28BA">
              <w:t xml:space="preserve"> voor zintuiglijke prikkels of ongewone belangstelling voor sensorische aspecten van de omgeving. Bijvoorbeeld: ongevoeligheid voor temperatuur, pijn, geur etc.</w:t>
            </w:r>
          </w:p>
        </w:tc>
        <w:tc>
          <w:tcPr>
            <w:tcW w:w="850" w:type="dxa"/>
          </w:tcPr>
          <w:p w:rsidR="00E95B97" w:rsidRDefault="00E95B97" w:rsidP="00B44758">
            <w:r>
              <w:t>1</w:t>
            </w:r>
          </w:p>
        </w:tc>
        <w:tc>
          <w:tcPr>
            <w:tcW w:w="709" w:type="dxa"/>
          </w:tcPr>
          <w:p w:rsidR="00E95B97" w:rsidRDefault="00E95B97" w:rsidP="00B44758">
            <w:r>
              <w:t>2</w:t>
            </w:r>
          </w:p>
        </w:tc>
        <w:tc>
          <w:tcPr>
            <w:tcW w:w="845" w:type="dxa"/>
          </w:tcPr>
          <w:p w:rsidR="00E95B97" w:rsidRDefault="00E95B97" w:rsidP="00B44758">
            <w:r>
              <w:t>3</w:t>
            </w:r>
          </w:p>
        </w:tc>
      </w:tr>
    </w:tbl>
    <w:p w:rsidR="00E95B97" w:rsidRDefault="00E95B97" w:rsidP="00E95B97">
      <w:pPr>
        <w:pStyle w:val="Geenafstand"/>
      </w:pPr>
    </w:p>
    <w:p w:rsidR="00E95B97" w:rsidRDefault="00E95B97" w:rsidP="00E95B97">
      <w:pPr>
        <w:pStyle w:val="Geenafstand"/>
      </w:pPr>
      <w:r w:rsidRPr="00A361B0">
        <w:t xml:space="preserve">C. </w:t>
      </w:r>
      <w:r w:rsidRPr="00B969E2">
        <w:t>De symptomen moeten aanwezig zijn in de vroege ontwikkelingsperiode</w:t>
      </w:r>
      <w:r>
        <w:t xml:space="preserve"> maar kunnen soms pas </w:t>
      </w:r>
    </w:p>
    <w:p w:rsidR="00E95B97" w:rsidRPr="00A361B0" w:rsidRDefault="00E95B97" w:rsidP="00E95B97">
      <w:r>
        <w:t>volledig manifest worden wanneer de sociale eisen de begrensde vermogens overstijgen, of kunnen worden gemaskeerd door op latere leeftijd aangeleerde strategieën.</w:t>
      </w:r>
    </w:p>
    <w:p w:rsidR="00E95B97" w:rsidRDefault="00E95B97" w:rsidP="00E95B97">
      <w:pPr>
        <w:pStyle w:val="Geenafstand"/>
      </w:pPr>
      <w:r w:rsidRPr="00A361B0">
        <w:t xml:space="preserve">D. </w:t>
      </w:r>
      <w:r>
        <w:t xml:space="preserve">De symptomen veroorzaken klinisch significante </w:t>
      </w:r>
      <w:proofErr w:type="spellStart"/>
      <w:r>
        <w:t>lijdensdruk</w:t>
      </w:r>
      <w:proofErr w:type="spellEnd"/>
      <w:r>
        <w:t xml:space="preserve"> of beperkingen in het sociale of </w:t>
      </w:r>
    </w:p>
    <w:p w:rsidR="00E95B97" w:rsidRDefault="00E95B97" w:rsidP="00E95B97">
      <w:pPr>
        <w:pStyle w:val="Geenafstand"/>
      </w:pPr>
      <w:r>
        <w:t>beroepsmatige functioneren of het functioneren op andere belangrijke terreinen.</w:t>
      </w:r>
    </w:p>
    <w:p w:rsidR="00E95B97" w:rsidRPr="00A361B0" w:rsidRDefault="00E95B97" w:rsidP="00E95B97">
      <w:pPr>
        <w:pStyle w:val="Geenafstand"/>
      </w:pPr>
    </w:p>
    <w:p w:rsidR="00E95B97" w:rsidRDefault="00E95B97" w:rsidP="00E95B97">
      <w:r w:rsidRPr="00A361B0">
        <w:t xml:space="preserve">E. </w:t>
      </w:r>
      <w:r w:rsidRPr="00B969E2">
        <w:t>De symptomen kunnen niet beter worden verklaard door een verstandelijke beperking of een globale</w:t>
      </w:r>
      <w:r>
        <w:t xml:space="preserve"> ontwikkelingsachterstand.</w:t>
      </w:r>
    </w:p>
    <w:p w:rsidR="00E95B97" w:rsidRPr="00A361B0" w:rsidRDefault="00E95B97" w:rsidP="00E95B97">
      <w:pPr>
        <w:pStyle w:val="Geenafstand"/>
      </w:pPr>
      <w:r w:rsidRPr="00A361B0">
        <w:t xml:space="preserve">Voor domeinen </w:t>
      </w:r>
      <w:r>
        <w:t xml:space="preserve">A en B </w:t>
      </w:r>
      <w:r w:rsidRPr="00A361B0">
        <w:t xml:space="preserve">moet de ernst worden vastgesteld: </w:t>
      </w:r>
    </w:p>
    <w:p w:rsidR="00E95B97" w:rsidRPr="00A361B0" w:rsidRDefault="00E95B97" w:rsidP="00E95B97">
      <w:pPr>
        <w:pStyle w:val="Geenafstand"/>
      </w:pPr>
      <w:r w:rsidRPr="00A361B0">
        <w:t xml:space="preserve">•Niveau 1: ‘vereist ondersteuning’ </w:t>
      </w:r>
    </w:p>
    <w:p w:rsidR="00E95B97" w:rsidRPr="00A361B0" w:rsidRDefault="00E95B97" w:rsidP="00E95B97">
      <w:pPr>
        <w:pStyle w:val="Geenafstand"/>
      </w:pPr>
      <w:r w:rsidRPr="00A361B0">
        <w:t xml:space="preserve">•Niveau 2: ‘vereist substantiële ondersteuning’ </w:t>
      </w:r>
    </w:p>
    <w:p w:rsidR="00E95B97" w:rsidRPr="00A361B0" w:rsidRDefault="00E95B97" w:rsidP="00E95B97">
      <w:pPr>
        <w:pStyle w:val="Geenafstand"/>
      </w:pPr>
      <w:r w:rsidRPr="00A361B0">
        <w:t>•Niveau 3: ‘vereist zeer substantiële</w:t>
      </w:r>
      <w:r>
        <w:t xml:space="preserve"> </w:t>
      </w:r>
      <w:r w:rsidRPr="00A361B0">
        <w:t xml:space="preserve">ondersteuning’ </w:t>
      </w:r>
    </w:p>
    <w:p w:rsidR="0074681A" w:rsidRDefault="0074681A"/>
    <w:sectPr w:rsidR="0074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97"/>
    <w:rsid w:val="0074681A"/>
    <w:rsid w:val="00E95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47D8-50F5-43A6-8512-885E8AE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B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5B97"/>
    <w:pPr>
      <w:spacing w:after="0" w:line="240" w:lineRule="auto"/>
    </w:pPr>
  </w:style>
  <w:style w:type="table" w:styleId="Tabelraster">
    <w:name w:val="Table Grid"/>
    <w:basedOn w:val="Standaardtabel"/>
    <w:uiPriority w:val="39"/>
    <w:rsid w:val="00E9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Faab en Bren Roubos</dc:creator>
  <cp:keywords/>
  <dc:description/>
  <cp:lastModifiedBy>Faab en Bren Roubos</cp:lastModifiedBy>
  <cp:revision>1</cp:revision>
  <dcterms:created xsi:type="dcterms:W3CDTF">2017-10-26T09:40:00Z</dcterms:created>
  <dcterms:modified xsi:type="dcterms:W3CDTF">2017-10-26T09:41:00Z</dcterms:modified>
</cp:coreProperties>
</file>